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C52287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CONTRATO 138-2021 REFERE A CONTRATAÇÃO DE EMPRESA ESPECIALIZADA PARA ELABORAÇÃO DE PROJETO TÉCNICO PARA MICRO GERAÇÃO DE ENERGIA SOLAR NAS ESCOLAS MUNICIPAIS E CRECHES – DISPENSA DE LICITAÇÃO 005-2020.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C5228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proofErr w:type="gramStart"/>
      <w:r w:rsidRPr="00C52287">
        <w:rPr>
          <w:rFonts w:ascii="Times New Roman" w:hAnsi="Times New Roman"/>
          <w:sz w:val="21"/>
          <w:szCs w:val="21"/>
        </w:rPr>
        <w:t xml:space="preserve">Vice </w:t>
      </w:r>
      <w:r w:rsidRPr="00C52287">
        <w:rPr>
          <w:rFonts w:ascii="Times New Roman" w:hAnsi="Times New Roman"/>
          <w:color w:val="000000"/>
          <w:sz w:val="21"/>
          <w:szCs w:val="21"/>
        </w:rPr>
        <w:t>Prefeito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Municipal em Exercício Sr. </w:t>
      </w:r>
      <w:r w:rsidRPr="00C52287">
        <w:rPr>
          <w:rFonts w:ascii="Times New Roman" w:hAnsi="Times New Roman"/>
          <w:b/>
          <w:sz w:val="21"/>
          <w:szCs w:val="21"/>
        </w:rPr>
        <w:t>OSMAR STEINBRENNER</w:t>
      </w:r>
      <w:r w:rsidRPr="00C5228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AJG Engenharia </w:t>
      </w:r>
      <w:proofErr w:type="spellStart"/>
      <w:r w:rsidRPr="00C52287">
        <w:rPr>
          <w:rFonts w:ascii="Times New Roman" w:hAnsi="Times New Roman"/>
          <w:b/>
          <w:sz w:val="21"/>
          <w:szCs w:val="21"/>
        </w:rPr>
        <w:t>Ltda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(Sigma Engenharia Elétrica), CNPJ nº 19.780.730/0001-80, na Rua 19 de Outubro, 1258, Sala 04, Bairro São José, Ijuí/RS, neste ato representada pelo Sr. Antônio Rodrigo </w:t>
      </w:r>
      <w:proofErr w:type="spellStart"/>
      <w:r w:rsidRPr="00C52287">
        <w:rPr>
          <w:rFonts w:ascii="Times New Roman" w:hAnsi="Times New Roman"/>
          <w:sz w:val="21"/>
          <w:szCs w:val="21"/>
        </w:rPr>
        <w:t>Juswiaki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dos Santos, brasileiro, casado, empresário, portador da carteira de identidade n° 1064433251, CPF n° 884.756.890-00, residente e domiciliado na Rua 19 de Outubro, 1490, Bairro São José, na cidade de Ijuí/RS.</w:t>
      </w:r>
    </w:p>
    <w:p w:rsidR="00C52287" w:rsidRPr="00C52287" w:rsidRDefault="00C52287" w:rsidP="00C52287">
      <w:pPr>
        <w:pStyle w:val="Corpodetexto"/>
        <w:ind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C52287" w:rsidRDefault="00C52287" w:rsidP="00C52287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C52287">
        <w:rPr>
          <w:rFonts w:ascii="Times New Roman" w:hAnsi="Times New Roman"/>
          <w:b w:val="0"/>
          <w:sz w:val="21"/>
          <w:szCs w:val="21"/>
        </w:rPr>
        <w:t>“Contratação de Empresa Especializada para Elaboração de Projeto Técnico para Micro Geração de Energia Solar nas Escolas Municipais e Creches” para a Secretaria Municipal de Educação Cultura e Desportos do Município de Porto Xavier/RS.</w:t>
      </w:r>
    </w:p>
    <w:p w:rsidR="00C52287" w:rsidRPr="00C52287" w:rsidRDefault="00C52287" w:rsidP="00C52287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Os serviços prestados neste projeto deverão incluir: Levantamento em campo, projeto gráfico, memorial descritivo, ART, relação de materiais e BDI, bem como a tramitação nas Concessionárias de Energia (RGE e </w:t>
      </w:r>
      <w:proofErr w:type="spellStart"/>
      <w:r w:rsidRPr="00C52287">
        <w:rPr>
          <w:rFonts w:ascii="Times New Roman" w:hAnsi="Times New Roman"/>
          <w:sz w:val="21"/>
          <w:szCs w:val="21"/>
        </w:rPr>
        <w:t>Cermissões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). A empresa deverá elaborar 01 (um) projeto para cada Escola ou Creche, que são elas: Escola Municipal Arthur da Costa e Silva (Rincão Comprido), Escola Municipal Santos Dumont (Linha Nova), Escola Municipal Dona Irene </w:t>
      </w:r>
      <w:proofErr w:type="spellStart"/>
      <w:r w:rsidRPr="00C52287">
        <w:rPr>
          <w:rFonts w:ascii="Times New Roman" w:hAnsi="Times New Roman"/>
          <w:sz w:val="21"/>
          <w:szCs w:val="21"/>
        </w:rPr>
        <w:t>Feier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(Linha Primeira), Escola Municipal Érico Veríssimo (Linha Divisa), Escola Machado de Assis (Ponte </w:t>
      </w:r>
      <w:proofErr w:type="spellStart"/>
      <w:r w:rsidRPr="00C52287">
        <w:rPr>
          <w:rFonts w:ascii="Times New Roman" w:hAnsi="Times New Roman"/>
          <w:sz w:val="21"/>
          <w:szCs w:val="21"/>
        </w:rPr>
        <w:t>Pindaí</w:t>
      </w:r>
      <w:proofErr w:type="spellEnd"/>
      <w:r w:rsidRPr="00C52287">
        <w:rPr>
          <w:rFonts w:ascii="Times New Roman" w:hAnsi="Times New Roman"/>
          <w:sz w:val="21"/>
          <w:szCs w:val="21"/>
        </w:rPr>
        <w:t>), Escola de Educação Infantil Cantinho do Céu (Centro) e Escola de Educação Infantil Sonho Encantado (Centro).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>prazo para início dos serviços será imediatamente após a assinatura.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>O prazo para entrega do projeto será até 15 de dezembro de 2021.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R$ 6.300,00 (Seis Mil e Trezentos Reais).</w:t>
      </w:r>
    </w:p>
    <w:p w:rsidR="00C52287" w:rsidRPr="00C52287" w:rsidRDefault="00C52287" w:rsidP="00C5228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pagamento será realizado à vista, após a apresentação e aprovação dos projetos, mediante apresentação de NF.</w:t>
      </w:r>
    </w:p>
    <w:p w:rsidR="00C52287" w:rsidRPr="00C52287" w:rsidRDefault="00C52287" w:rsidP="00C52287">
      <w:pPr>
        <w:pStyle w:val="Corpodetexto2"/>
        <w:spacing w:line="240" w:lineRule="auto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O CONTRATANTE exercerá a fiscalização sobre o projeto, através do Secretário Municipal de Educação Cultura e Desportos.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da Secretaria Municipal de Educação Cultura e Desportos.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1023 – Construção, Ampliação, Reforma e Melhorias das Escolas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1024 - Construção, Ampliação, Reforma e Melhorias das Escolas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4490 51 – 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pStyle w:val="Corpodetex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017/2021</w:t>
      </w:r>
      <w:r w:rsidRPr="00C52287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do art. 67, da Lei nº 8666/93, fica designado como Gestor do contrato o Secretário Municipal de Educação Cultura e Desportos.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Porto Xavier, 20 de outubro de 2021.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         OSMAR STEINBRENNER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b/>
          <w:sz w:val="21"/>
          <w:szCs w:val="21"/>
        </w:rPr>
        <w:t xml:space="preserve">ANTÔNIO RODRIGO </w:t>
      </w:r>
      <w:proofErr w:type="gramStart"/>
      <w:r w:rsidRPr="00C52287">
        <w:rPr>
          <w:rFonts w:ascii="Times New Roman" w:hAnsi="Times New Roman"/>
          <w:b/>
          <w:sz w:val="21"/>
          <w:szCs w:val="21"/>
        </w:rPr>
        <w:t>JUSWIAKI</w:t>
      </w:r>
      <w:r w:rsidRPr="00C52287">
        <w:rPr>
          <w:rFonts w:ascii="Times New Roman" w:hAnsi="Times New Roman"/>
          <w:sz w:val="21"/>
          <w:szCs w:val="21"/>
        </w:rPr>
        <w:t xml:space="preserve">  </w:t>
      </w:r>
      <w:r w:rsidRPr="00C52287">
        <w:rPr>
          <w:rFonts w:ascii="Times New Roman" w:hAnsi="Times New Roman"/>
          <w:sz w:val="21"/>
          <w:szCs w:val="21"/>
        </w:rPr>
        <w:softHyphen/>
      </w:r>
      <w:proofErr w:type="gramEnd"/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C52287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94" w:rsidRDefault="00A34694" w:rsidP="00FD0964">
      <w:pPr>
        <w:spacing w:before="0" w:after="0" w:line="240" w:lineRule="auto"/>
      </w:pPr>
      <w:r>
        <w:separator/>
      </w:r>
    </w:p>
  </w:endnote>
  <w:endnote w:type="continuationSeparator" w:id="0">
    <w:p w:rsidR="00A34694" w:rsidRDefault="00A3469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94" w:rsidRDefault="00A34694" w:rsidP="00FD0964">
      <w:pPr>
        <w:spacing w:before="0" w:after="0" w:line="240" w:lineRule="auto"/>
      </w:pPr>
      <w:r>
        <w:separator/>
      </w:r>
    </w:p>
  </w:footnote>
  <w:footnote w:type="continuationSeparator" w:id="0">
    <w:p w:rsidR="00A34694" w:rsidRDefault="00A3469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44F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E34E-FBD3-4094-87E4-13DDC9EE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2021-01-22T09:24:00Z</cp:lastPrinted>
  <dcterms:created xsi:type="dcterms:W3CDTF">2021-11-05T11:59:00Z</dcterms:created>
  <dcterms:modified xsi:type="dcterms:W3CDTF">2021-11-05T12:01:00Z</dcterms:modified>
</cp:coreProperties>
</file>